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mallCaps w:val="1"/>
          <w:color w:val="000000"/>
          <w:highlight w:val="white"/>
        </w:rPr>
      </w:pPr>
      <w:r w:rsidDel="00000000" w:rsidR="00000000" w:rsidRPr="00000000">
        <w:rPr>
          <w:b w:val="1"/>
          <w:smallCaps w:val="1"/>
          <w:color w:val="000000"/>
          <w:highlight w:val="white"/>
          <w:rtl w:val="0"/>
        </w:rPr>
        <w:t xml:space="preserve">UZASADNIENIE</w:t>
      </w:r>
    </w:p>
    <w:p w:rsidR="00000000" w:rsidDel="00000000" w:rsidP="00000000" w:rsidRDefault="00000000" w:rsidRPr="00000000" w14:paraId="00000002">
      <w:pPr>
        <w:ind w:left="-284" w:firstLine="0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W opinii projektodawcy Statut gminy Sulęcin powinien zostać zmodyfikowany w celu usunięcia zapisów sprzecznych z prawem oraz przepisów budzących poważne wątpliwości prawne, które zostały wskazywane w licznych  rozstrzygnięciach nadzorczych Wojewodów. Wprowadzone w projekcie zmiany służą zwiększeniu czytelności statutu oraz podwyższają standard techniki legislacyjnej. Szczegółowe uzasadnienie proponowanych zmian przedstawia się następująco:</w:t>
      </w:r>
    </w:p>
    <w:p w:rsidR="00000000" w:rsidDel="00000000" w:rsidP="00000000" w:rsidRDefault="00000000" w:rsidRPr="00000000" w14:paraId="00000003">
      <w:pPr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Uchylenie § 1 pkt. 4 oraz pkt. 4a: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  <w:t xml:space="preserve">Wynika z konieczności usunięcia błędu legislacyjnego “idem per idem” (to samo przez to samo) słownik uchwały winien tłumaczyć i rozwijać zwroty, których zrozumienie może stwarzać problemy, bądź, których nazwa jest zbyt długa by stosować ją każdorazowo w uchwale. </w:t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Zmiana § 3 ust. 2:</w:t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  <w:t xml:space="preserve">Wynika  z konieczności usunięcia zapisu niezgodnego z art 1  ustawy o Samorządzie gminnym. Nieuprawniona modyfikacja tegoż artykułu powodowała niezgodne  z ustawą zawężenie osób należących do wspólnoty samorządowej.</w:t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Zmiana § 16 ust. 1:</w:t>
      </w:r>
    </w:p>
    <w:p w:rsidR="00000000" w:rsidDel="00000000" w:rsidP="00000000" w:rsidRDefault="00000000" w:rsidRPr="00000000" w14:paraId="0000000B">
      <w:pPr>
        <w:jc w:val="left"/>
        <w:rPr/>
      </w:pPr>
      <w:r w:rsidDel="00000000" w:rsidR="00000000" w:rsidRPr="00000000">
        <w:rPr>
          <w:rtl w:val="0"/>
        </w:rPr>
        <w:t xml:space="preserve">W ocenie projektodawcy komisje rewizyjna oraz komisja skarg i wniosków nie są komisjami stałymi. Komisja rewizyjna oraz komisja skarg i wniosków w myśl USG musi być powołana przez radę a w myśl ustawy powołanie komisji stałych jest jedynie uprawnieniem Rady. </w:t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Zmiana  § 16 ust. 3:</w:t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  <w:t xml:space="preserve">W ocenie Projektodawcy poprzednie brzmienie artykułu rodziło wątpliwości interpretacyjne i nie było konieczne. Projekt  zakłada, iż członkowie komisji wybierani są przez radę jedynie na wniosek Radnych. </w:t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Uchylenie § 17:</w:t>
      </w:r>
    </w:p>
    <w:p w:rsidR="00000000" w:rsidDel="00000000" w:rsidP="00000000" w:rsidRDefault="00000000" w:rsidRPr="00000000" w14:paraId="00000011">
      <w:pPr>
        <w:jc w:val="left"/>
        <w:rPr/>
      </w:pPr>
      <w:r w:rsidDel="00000000" w:rsidR="00000000" w:rsidRPr="00000000">
        <w:rPr>
          <w:rtl w:val="0"/>
        </w:rPr>
        <w:t xml:space="preserve">W myśl projektodawcy statut gminy nie posiada delegacji ustawowej do powielania artykuł znajdujących się w USG, szczególnie w przypadku braku kompetencji w sprawie pierwszej sesji rady.</w:t>
      </w:r>
    </w:p>
    <w:p w:rsidR="00000000" w:rsidDel="00000000" w:rsidP="00000000" w:rsidRDefault="00000000" w:rsidRPr="00000000" w14:paraId="0000001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Uchylenie § 18 ust. 1 pkt 5:</w:t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  <w:t xml:space="preserve">W ocenie projektodawcy zapis ten  wykracza poza ramy zadań przewodniczącego rady określonych w ustawach - zwłaszcza jeśli się zważy, że w świetle art. 24 ustawy mandat radnego nie ogranicza się tylko do udziału w pracach rady gminy - ani nie mieści się w zakresie zadań lub kompetencji wyznaczonych przewodniczącemu przez inne przepisy ustaw</w:t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Zmiana § 19:</w:t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  <w:t xml:space="preserve">Zmiana wynika z konieczności skorygowania zapisu statutu sprzecznego z zapisami Ustawy o samorządzie Gminny tj. Art 19</w:t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Zmiana § 25 ust. 2:</w:t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  <w:t xml:space="preserve">Zmiana wynika z potrzeby usunięcia błędu logicznego.</w:t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Zmiania § 26 ust.8</w:t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  <w:t xml:space="preserve">Zmiana powyższego przepisu wynika z dostosowania go do prawa krajowego, i zmiany § 25 ust. 2, który eliminuje ze statutu instytucję sesji pilnej.</w:t>
      </w:r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 Zmiania § 26 ust. 9 </w:t>
      </w:r>
    </w:p>
    <w:p w:rsidR="00000000" w:rsidDel="00000000" w:rsidP="00000000" w:rsidRDefault="00000000" w:rsidRPr="00000000" w14:paraId="00000020">
      <w:pPr>
        <w:jc w:val="left"/>
        <w:rPr/>
      </w:pPr>
      <w:r w:rsidDel="00000000" w:rsidR="00000000" w:rsidRPr="00000000">
        <w:rPr>
          <w:rtl w:val="0"/>
        </w:rPr>
        <w:t xml:space="preserve">W ocenie projektodawcy dotychczasowy przepis był sformułowany w sposób niejednoznaczny a proponowana  jego treść jest bardziej czytelna.</w:t>
      </w:r>
    </w:p>
    <w:p w:rsidR="00000000" w:rsidDel="00000000" w:rsidP="00000000" w:rsidRDefault="00000000" w:rsidRPr="00000000" w14:paraId="0000002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Zmiana § 30:</w:t>
      </w:r>
    </w:p>
    <w:p w:rsidR="00000000" w:rsidDel="00000000" w:rsidP="00000000" w:rsidRDefault="00000000" w:rsidRPr="00000000" w14:paraId="00000023">
      <w:pPr>
        <w:jc w:val="left"/>
        <w:rPr/>
      </w:pPr>
      <w:r w:rsidDel="00000000" w:rsidR="00000000" w:rsidRPr="00000000">
        <w:rPr>
          <w:rtl w:val="0"/>
        </w:rPr>
        <w:t xml:space="preserve">Zmiana wynika z konieczności skorygowania nieścisłości statutowych. Bowiem w kolejnych paragrafach, statut zakłada możliwość odbywania sesji na kilku posiedzeniach. Dlatego konieczne było dodanie zwrotu “co do zasady”.</w:t>
      </w:r>
    </w:p>
    <w:p w:rsidR="00000000" w:rsidDel="00000000" w:rsidP="00000000" w:rsidRDefault="00000000" w:rsidRPr="00000000" w14:paraId="0000002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Dodanie w §32 ust. 3 o treści Usystematyzowanie sytuacji, w której w trakcie sesji spada qworum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Zmiana §34 ust.2 otrzymuje brzmienie: "Po otwarciu sesji Przewodniczący obrad stwierdza, na podstawie wyniku przeliczenia radnych obecnych na sali, prawomocność obrad."</w:t>
      </w:r>
    </w:p>
    <w:p w:rsidR="00000000" w:rsidDel="00000000" w:rsidP="00000000" w:rsidRDefault="00000000" w:rsidRPr="00000000" w14:paraId="00000027">
      <w:pPr>
        <w:ind w:left="426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 Zmiana §36 ust.2 </w:t>
      </w:r>
    </w:p>
    <w:p w:rsidR="00000000" w:rsidDel="00000000" w:rsidP="00000000" w:rsidRDefault="00000000" w:rsidRPr="00000000" w14:paraId="00000029">
      <w:pPr>
        <w:jc w:val="left"/>
        <w:rPr/>
      </w:pPr>
      <w:r w:rsidDel="00000000" w:rsidR="00000000" w:rsidRPr="00000000">
        <w:rPr>
          <w:rtl w:val="0"/>
        </w:rPr>
        <w:t xml:space="preserve">Proponowana zmiana jest konieczna ponieważ aktualne brzmienie statutu, ingeruję w porządek obrad sesji nadzwyczajnych przez zastosowanie wyłączenia jedynie sesji uroczystych. Porządek obrad sesji nadzwyczajnych, określa ustawa o samorządzie gminnym nie jest możliwe więc określanie przez statut porządku obrad owej sesji.</w:t>
      </w:r>
    </w:p>
    <w:p w:rsidR="00000000" w:rsidDel="00000000" w:rsidP="00000000" w:rsidRDefault="00000000" w:rsidRPr="00000000" w14:paraId="0000002A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Zmiana §36 ust.3 otrzymuje brzmienie: Proponowana zmiana wynika z potrzeby potrzeby modyfikacji sesji, które mają szczególncy charatker i określony cel </w:t>
      </w:r>
    </w:p>
    <w:p w:rsidR="00000000" w:rsidDel="00000000" w:rsidP="00000000" w:rsidRDefault="00000000" w:rsidRPr="00000000" w14:paraId="0000002C">
      <w:pPr>
        <w:ind w:left="426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 § 41 ust 2 otrzymuje brzmienie: proponowana zmiana wyłącza możliwość zabierania głosu burmistrzowi itd w każdej sytuacji poza kolejnością. Oczywiście w uzasadnonych przypadkach będzie taka potrzeba natomiast sytuacja taka powinna być wyjątkiem a nie regułą dającą szczególne uprawnienie burmistrzowi.</w:t>
      </w:r>
    </w:p>
    <w:p w:rsidR="00000000" w:rsidDel="00000000" w:rsidP="00000000" w:rsidRDefault="00000000" w:rsidRPr="00000000" w14:paraId="0000002E">
      <w:pPr>
        <w:ind w:left="426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0" w:hanging="360"/>
        <w:jc w:val="left"/>
        <w:rPr/>
      </w:pPr>
      <w:r w:rsidDel="00000000" w:rsidR="00000000" w:rsidRPr="00000000">
        <w:rPr>
          <w:rtl w:val="0"/>
        </w:rPr>
        <w:t xml:space="preserve"> §41 ust. 5 otrzymuje brzmienie: “Przewodniczący obrad może udzielić głosu osobie nie będącej radnym jedynie za zgodą Rady. Przewodniczący może przy tym określić czas wypowiedzi”.</w:t>
      </w:r>
    </w:p>
    <w:p w:rsidR="00000000" w:rsidDel="00000000" w:rsidP="00000000" w:rsidRDefault="00000000" w:rsidRPr="00000000" w14:paraId="0000003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/>
      </w:pPr>
      <w:r w:rsidDel="00000000" w:rsidR="00000000" w:rsidRPr="00000000">
        <w:rPr>
          <w:rtl w:val="0"/>
        </w:rPr>
        <w:t xml:space="preserve">W ocenie projektodawcy poprzedni zapis mógł rodzić problemy, kogo z osób będących na sali uznaje się za publiczność. Zapis przedstawiony w projekcie pozwoli na udzielania głosu, osobom, które nie zostały formalnie zaproszone a które posiadają wiedzę i kompetencję by odpowiedzieć na pytania radnych.</w:t>
      </w:r>
    </w:p>
    <w:p w:rsidR="00000000" w:rsidDel="00000000" w:rsidP="00000000" w:rsidRDefault="00000000" w:rsidRPr="00000000" w14:paraId="0000003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 Po § 41 ust 5 dodaje się § 41 ust 6 o następującej treści: Zmiana ta jest konsekwencją zmiany z  § 41 ust 2, która usuwa zapisy o burmistrzu. Burmstrz w proponowanej zmianie może zabierać głos na zasadach ogólnych, jak każdy radny bez specjalnego uprzywilejowania jak również be obostrzeń dotyczących publiczności. </w:t>
      </w:r>
    </w:p>
    <w:p w:rsidR="00000000" w:rsidDel="00000000" w:rsidP="00000000" w:rsidRDefault="00000000" w:rsidRPr="00000000" w14:paraId="00000034">
      <w:pPr>
        <w:ind w:left="426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 § 42 ust 4 otrzymuje brzmienie zmiana ta wynika ze zmianych poprzednich paragrafów które dają możliwość zabrania głosu przez osoby nie zaproszone. Statut powinien w takich przypadkach dawać możliwośc odebrania im głosu przez przewodniczącego.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 Uchylenie § 42 ust. 5 </w:t>
      </w:r>
    </w:p>
    <w:p w:rsidR="00000000" w:rsidDel="00000000" w:rsidP="00000000" w:rsidRDefault="00000000" w:rsidRPr="00000000" w14:paraId="00000037">
      <w:pPr>
        <w:jc w:val="left"/>
        <w:rPr/>
      </w:pPr>
      <w:r w:rsidDel="00000000" w:rsidR="00000000" w:rsidRPr="00000000">
        <w:rPr>
          <w:rtl w:val="0"/>
        </w:rPr>
        <w:t xml:space="preserve">Wprowadzenie do statutu gminy, a zatem do aktu prawa miejscowego, sankcji w postaci nakazu opuszczenia sali, o której miałby decydować przewodniczący rady, narusza zasadę jawności działania organów gminy wyrażoną w art. 11b ust. 1 i 2 usg oraz w art. 61 Konstytucji RP. Nie do zaakceptowania jest zatem sytuacja, zgodnie z którą o ograniczeniu decydują miejscowe regulacje. Zakłócanie porządku obrad może stanowić wykroczenie, niemniej jednak w takiej sytuacji przewodniczący rady powinien zwrócić się o pomoc do uprawnionych do tego służb. </w:t>
      </w:r>
    </w:p>
    <w:p w:rsidR="00000000" w:rsidDel="00000000" w:rsidP="00000000" w:rsidRDefault="00000000" w:rsidRPr="00000000" w14:paraId="0000003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Zmiana § 44 ust 1</w:t>
      </w:r>
    </w:p>
    <w:p w:rsidR="00000000" w:rsidDel="00000000" w:rsidP="00000000" w:rsidRDefault="00000000" w:rsidRPr="00000000" w14:paraId="0000003A">
      <w:pPr>
        <w:jc w:val="left"/>
        <w:rPr/>
      </w:pPr>
      <w:r w:rsidDel="00000000" w:rsidR="00000000" w:rsidRPr="00000000">
        <w:rPr>
          <w:rtl w:val="0"/>
        </w:rPr>
        <w:t xml:space="preserve">Zwrot “ w szczególności” zawarty w zapisach dotychczasowego statutu zakłada, że katalog wniosków natury formalnej przy których przewodniczący udziela głosu poza kolejnością jest otwarty, tzn. znajduje się w nim wszystko co zostało wypisane ale i inne sytuacje, które pozwalałyby na szeroką interpretację. W ocenie projektodawcy zamknięcie tego katalogu pozwoli uniknąć wątpliwości interpretacyjnych.</w:t>
      </w:r>
    </w:p>
    <w:p w:rsidR="00000000" w:rsidDel="00000000" w:rsidP="00000000" w:rsidRDefault="00000000" w:rsidRPr="00000000" w14:paraId="0000003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 Zmiana § 47 ust.4</w:t>
      </w:r>
    </w:p>
    <w:p w:rsidR="00000000" w:rsidDel="00000000" w:rsidP="00000000" w:rsidRDefault="00000000" w:rsidRPr="00000000" w14:paraId="0000003D">
      <w:pPr>
        <w:jc w:val="left"/>
        <w:rPr/>
      </w:pPr>
      <w:r w:rsidDel="00000000" w:rsidR="00000000" w:rsidRPr="00000000">
        <w:rPr>
          <w:rtl w:val="0"/>
        </w:rPr>
        <w:t xml:space="preserve">W opinii projektodawcy aktualny zapis może prowadzić do stosowania nadużyć, poprzez uznanie błędów w obliczeniach matematycznych za oczywistą omyłke a przez to danie możliwosći zmiany  treść uchwały bez woli rady. Błąd w obliczeniach matematycznych w opinii projektodawcy jest czymś co absolutnie nie powinno się zawierać w sformułowaniu “oczywista omyłka”.</w:t>
      </w:r>
    </w:p>
    <w:p w:rsidR="00000000" w:rsidDel="00000000" w:rsidP="00000000" w:rsidRDefault="00000000" w:rsidRPr="00000000" w14:paraId="0000003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 Zmiana § 57 </w:t>
      </w:r>
    </w:p>
    <w:p w:rsidR="00000000" w:rsidDel="00000000" w:rsidP="00000000" w:rsidRDefault="00000000" w:rsidRPr="00000000" w14:paraId="00000040">
      <w:pPr>
        <w:jc w:val="left"/>
        <w:rPr/>
      </w:pPr>
      <w:r w:rsidDel="00000000" w:rsidR="00000000" w:rsidRPr="00000000">
        <w:rPr>
          <w:rtl w:val="0"/>
        </w:rPr>
        <w:t xml:space="preserve">Według statutu w aktualnej sytuacji prawnej Radca Prawny był zobowiązany do każdorazowego opiniowania projektów uchwał. W ocenie projektodawcy, wystarczającą formą jest skonsultowanie z Radcą prawnym projektu co do jego zgodności z prawem. Podpis radcy prawnego pod projektem uchwały będzie oznaczało wydanie pozytywnej opinii prawnej.</w:t>
      </w:r>
    </w:p>
    <w:p w:rsidR="00000000" w:rsidDel="00000000" w:rsidP="00000000" w:rsidRDefault="00000000" w:rsidRPr="00000000" w14:paraId="0000004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 Zmiana  § 57 ust 4 </w:t>
      </w:r>
    </w:p>
    <w:p w:rsidR="00000000" w:rsidDel="00000000" w:rsidP="00000000" w:rsidRDefault="00000000" w:rsidRPr="00000000" w14:paraId="00000043">
      <w:pPr>
        <w:jc w:val="left"/>
        <w:rPr/>
      </w:pPr>
      <w:r w:rsidDel="00000000" w:rsidR="00000000" w:rsidRPr="00000000">
        <w:rPr>
          <w:rtl w:val="0"/>
        </w:rPr>
        <w:t xml:space="preserve">Zwrot “albo” w przypadku enumeratywnie wypisanego katalogu stanowi oczywisty błąd logiczny, który należy usunąć. </w:t>
      </w:r>
    </w:p>
    <w:p w:rsidR="00000000" w:rsidDel="00000000" w:rsidP="00000000" w:rsidRDefault="00000000" w:rsidRPr="00000000" w14:paraId="0000004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 Zmiana  § 61 </w:t>
      </w:r>
    </w:p>
    <w:p w:rsidR="00000000" w:rsidDel="00000000" w:rsidP="00000000" w:rsidRDefault="00000000" w:rsidRPr="00000000" w14:paraId="00000046">
      <w:pPr>
        <w:jc w:val="left"/>
        <w:rPr/>
      </w:pPr>
      <w:r w:rsidDel="00000000" w:rsidR="00000000" w:rsidRPr="00000000">
        <w:rPr>
          <w:rtl w:val="0"/>
        </w:rPr>
        <w:t xml:space="preserve">W ocenie projektodawcy, niektóre Uchwały Rady muszą być zredagowane językiem specjalistycznym w innym przypadku, uchwała będzie otwierała możliwość wielu  interpretacji. Stąd propozycja usunięcia zdania drugiego tegoż paragrafu. </w:t>
      </w:r>
    </w:p>
    <w:p w:rsidR="00000000" w:rsidDel="00000000" w:rsidP="00000000" w:rsidRDefault="00000000" w:rsidRPr="00000000" w14:paraId="0000004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 Zmiana  § 72 ust 2</w:t>
      </w:r>
    </w:p>
    <w:p w:rsidR="00000000" w:rsidDel="00000000" w:rsidP="00000000" w:rsidRDefault="00000000" w:rsidRPr="00000000" w14:paraId="00000049">
      <w:pPr>
        <w:jc w:val="left"/>
        <w:rPr/>
      </w:pPr>
      <w:r w:rsidDel="00000000" w:rsidR="00000000" w:rsidRPr="00000000">
        <w:rPr>
          <w:rtl w:val="0"/>
        </w:rPr>
        <w:t xml:space="preserve">Pracę komisji  często są dublowane w celu zasięgnięcia opinii komisji, które specjalizują się w innych kategoriach. Opinia komisji infrastruktury może być odmienna od opinii komisji budżetu co pozwala Radnym na wielopłaszczyznowe zapoznanie się z problematyką uchwały. Dublowanie prac komisji w wielu przypadkach będzie więc korzystne i uzasadnione. </w:t>
      </w:r>
    </w:p>
    <w:p w:rsidR="00000000" w:rsidDel="00000000" w:rsidP="00000000" w:rsidRDefault="00000000" w:rsidRPr="00000000" w14:paraId="0000004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 Zmiana § 72 ust. 3</w:t>
      </w:r>
    </w:p>
    <w:p w:rsidR="00000000" w:rsidDel="00000000" w:rsidP="00000000" w:rsidRDefault="00000000" w:rsidRPr="00000000" w14:paraId="0000004C">
      <w:pPr>
        <w:jc w:val="left"/>
        <w:rPr/>
      </w:pPr>
      <w:r w:rsidDel="00000000" w:rsidR="00000000" w:rsidRPr="00000000">
        <w:rPr>
          <w:rtl w:val="0"/>
        </w:rPr>
        <w:t xml:space="preserve">Zmiana powyższego paragrafu spowodowana jest propozycją zmiany poprzednich paragrafów. Według projektu komisje Rewizyjna i Skarg i wniosków nie są komisjami stałymi .</w:t>
      </w:r>
    </w:p>
    <w:p w:rsidR="00000000" w:rsidDel="00000000" w:rsidP="00000000" w:rsidRDefault="00000000" w:rsidRPr="00000000" w14:paraId="0000004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 Zmiana  § 75 ust 1</w:t>
      </w:r>
    </w:p>
    <w:p w:rsidR="00000000" w:rsidDel="00000000" w:rsidP="00000000" w:rsidRDefault="00000000" w:rsidRPr="00000000" w14:paraId="0000004F">
      <w:pPr>
        <w:jc w:val="left"/>
        <w:rPr/>
      </w:pPr>
      <w:r w:rsidDel="00000000" w:rsidR="00000000" w:rsidRPr="00000000">
        <w:rPr>
          <w:rtl w:val="0"/>
        </w:rPr>
        <w:t xml:space="preserve">W ocenie projektodawcy wspólne posiedzenie komisji powinno być wyjątkiem a nie regułą. Stąd propozycja dodania stwierdzenia “ w wyjątkowych przypadkach”. W obecnym statucie brakowało również zapisu, który wskazywałby kto prowadzi wspólne posiedzenia komisji. Zaproponowana zmiana przyznaje kompetencję wskazania przewodniczącemu Rady. </w:t>
      </w:r>
    </w:p>
    <w:p w:rsidR="00000000" w:rsidDel="00000000" w:rsidP="00000000" w:rsidRDefault="00000000" w:rsidRPr="00000000" w14:paraId="0000005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 Zmiana  § 75a</w:t>
      </w:r>
    </w:p>
    <w:p w:rsidR="00000000" w:rsidDel="00000000" w:rsidP="00000000" w:rsidRDefault="00000000" w:rsidRPr="00000000" w14:paraId="00000052">
      <w:pPr>
        <w:jc w:val="left"/>
        <w:rPr/>
      </w:pPr>
      <w:r w:rsidDel="00000000" w:rsidR="00000000" w:rsidRPr="00000000">
        <w:rPr>
          <w:rtl w:val="0"/>
        </w:rPr>
        <w:t xml:space="preserve">Konieczność zmiany tegoż artykułu wynika z tego iż podjęcie przez organ stanowiący gminy uchwały zobowiązującej organ wykonawczy do zawarcia umowy z ekspertami lub biegłymi oraz do wypłaty środków publicznych na ich rzecz nie znajduje uzasadnienia prawnego. Komisje jak i rada nie mają prawa zaciągać zobowiązań na koszt gminy. Komisje w zaproponowanym wersji statutu, będą mogły wystąpić w przypadku powstania takiej potrzeby z wnioskiem do burmistrza. </w:t>
      </w:r>
    </w:p>
    <w:p w:rsidR="00000000" w:rsidDel="00000000" w:rsidP="00000000" w:rsidRDefault="00000000" w:rsidRPr="00000000" w14:paraId="0000005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Zmiana § 76 ust 2a</w:t>
      </w:r>
    </w:p>
    <w:p w:rsidR="00000000" w:rsidDel="00000000" w:rsidP="00000000" w:rsidRDefault="00000000" w:rsidRPr="00000000" w14:paraId="00000055">
      <w:pPr>
        <w:jc w:val="left"/>
        <w:rPr/>
      </w:pPr>
      <w:r w:rsidDel="00000000" w:rsidR="00000000" w:rsidRPr="00000000">
        <w:rPr>
          <w:rtl w:val="0"/>
        </w:rPr>
        <w:t xml:space="preserve">Statut gminy nie ma prawa nakładać na pracowników żadnych obowiązków. Zgodnie bowiem z art. 33 ustawy wójt (burmistrz, prezydent miasta) wykonuje zadania przy pomocy urzędu gminy (ust. 1), którego organizację i zasady funkcjonowania określa regulamin organizacyjny, przez niego nadany w drodze zarządzenia (ust. 2). Zgodnie z art. 33 ust. 3 tejże ustawy, wójt (burmistrz, prezydent miasta) jest kierownikiem Urzędu. Oznacza to, iż władztwo organizacyjne nad aparatem pomocniczym sprawuje wójt (burmistrz, prezydent miasta), który ma wyłączne prawo decydowania o zakresie obowiązków pracowników tego urzędu i wydawania im wiążących poleceń związanych z zakresem ich zadań. Niedopuszczalne jest zatem, aby w samym statucie nakładać jakiekolwiek obowiązki i zadania bezpośrednio na pracowników zatrudnionych w strukturach urzędu. Projektodawca uznał więc usunięcie zdania pierwszego tego paragrafu za konieczne. </w:t>
      </w:r>
    </w:p>
    <w:p w:rsidR="00000000" w:rsidDel="00000000" w:rsidP="00000000" w:rsidRDefault="00000000" w:rsidRPr="00000000" w14:paraId="0000005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Zmiana § 76 ust 5 otrzymuje brzmienie:Zmiana techniczna zaproponowana przez PRacowników urzędu 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 § 76 ust 5a otrzymuje brzmienie: ibidem</w:t>
      </w:r>
    </w:p>
    <w:p w:rsidR="00000000" w:rsidDel="00000000" w:rsidP="00000000" w:rsidRDefault="00000000" w:rsidRPr="00000000" w14:paraId="00000059">
      <w:pPr>
        <w:ind w:left="426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Zmiana  § 78 ust 1</w:t>
      </w:r>
    </w:p>
    <w:p w:rsidR="00000000" w:rsidDel="00000000" w:rsidP="00000000" w:rsidRDefault="00000000" w:rsidRPr="00000000" w14:paraId="0000005B">
      <w:pPr>
        <w:jc w:val="left"/>
        <w:rPr/>
      </w:pPr>
      <w:r w:rsidDel="00000000" w:rsidR="00000000" w:rsidRPr="00000000">
        <w:rPr>
          <w:rtl w:val="0"/>
        </w:rPr>
        <w:t xml:space="preserve">Zmiana  paragrafu 78, dostosowuje zapisy statutu do aktualnych możliwości technologicznych i zasad uczestnictwa w sesjach rady.</w:t>
      </w:r>
    </w:p>
    <w:p w:rsidR="00000000" w:rsidDel="00000000" w:rsidP="00000000" w:rsidRDefault="00000000" w:rsidRPr="00000000" w14:paraId="0000005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 Uchylenie § 84</w:t>
      </w:r>
    </w:p>
    <w:p w:rsidR="00000000" w:rsidDel="00000000" w:rsidP="00000000" w:rsidRDefault="00000000" w:rsidRPr="00000000" w14:paraId="0000005E">
      <w:pPr>
        <w:jc w:val="left"/>
        <w:rPr/>
      </w:pPr>
      <w:r w:rsidDel="00000000" w:rsidR="00000000" w:rsidRPr="00000000">
        <w:rPr>
          <w:rtl w:val="0"/>
        </w:rPr>
        <w:t xml:space="preserve">Zgodnie z art. 25a ustawy: "Radny nie może brać udziału w głosowaniu w radzie ani w komisji, jeżeli dotyczy ono jego interesu prawnego". Ustawa przewiduje więc wyłączenie radnego jedynie w głosowaniu w radzie lub w komisji, jeżeli dotyczy ono jego interesu prawnego. Ustawodawca nie przewidział wyłączenia w sprawach, w których może powstać podejrzenie o ich stronniczość lub interesowność. W przypadku dokonania wyboru radnego do składu komisji nie są możliwe jakiekolwiek czasowe wyłączenia od udziału w jej pracach ani na mocy decyzji przewodniczącego komisji ani też uchwały rady, chyba że rada podejmie decyzję o zmianie składu osobowego komisji. Przepisy obowiązujących ustaw nie przewidują prawa radnego, członka komisji, do odwoływania się do rady w ramach ochrony swych praw w sprawach związanych z pracami komisji. Ponadto należy wskazać, iż zgodnie z powołanym ustawy wyłączenie dotyczy samego głosowania w radzie czy komisji, a nie pracy w radzie, czy komisji, w tym także "udziału w jej działaniach".</w:t>
      </w:r>
    </w:p>
    <w:p w:rsidR="00000000" w:rsidDel="00000000" w:rsidP="00000000" w:rsidRDefault="00000000" w:rsidRPr="00000000" w14:paraId="0000005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Po § 88 dodaje się § 88a o następującej treści:</w:t>
      </w:r>
    </w:p>
    <w:p w:rsidR="00000000" w:rsidDel="00000000" w:rsidP="00000000" w:rsidRDefault="00000000" w:rsidRPr="00000000" w14:paraId="00000061">
      <w:pPr>
        <w:ind w:left="426" w:firstLine="0"/>
        <w:rPr/>
      </w:pPr>
      <w:r w:rsidDel="00000000" w:rsidR="00000000" w:rsidRPr="00000000">
        <w:rPr>
          <w:rtl w:val="0"/>
        </w:rPr>
        <w:t xml:space="preserve">Zmiany, które mogą ulec zmainie a które mają usysmtematyzować sytajcje komisji rewizyneje</w:t>
      </w:r>
    </w:p>
    <w:p w:rsidR="00000000" w:rsidDel="00000000" w:rsidP="00000000" w:rsidRDefault="00000000" w:rsidRPr="00000000" w14:paraId="00000062">
      <w:pPr>
        <w:ind w:left="426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w § 92 ust. 1 pkt 9) otrzymuje brzmienie:</w:t>
      </w:r>
    </w:p>
    <w:p w:rsidR="00000000" w:rsidDel="00000000" w:rsidP="00000000" w:rsidRDefault="00000000" w:rsidRPr="00000000" w14:paraId="00000064">
      <w:pPr>
        <w:ind w:left="426" w:firstLine="0"/>
        <w:rPr/>
      </w:pPr>
      <w:r w:rsidDel="00000000" w:rsidR="00000000" w:rsidRPr="00000000">
        <w:rPr>
          <w:rtl w:val="0"/>
        </w:rPr>
        <w:t xml:space="preserve">jak wyzej </w:t>
      </w:r>
    </w:p>
    <w:p w:rsidR="00000000" w:rsidDel="00000000" w:rsidP="00000000" w:rsidRDefault="00000000" w:rsidRPr="00000000" w14:paraId="00000065">
      <w:pPr>
        <w:ind w:left="426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 w § 92 uchyla się ust. 2. jak wyzej </w:t>
      </w:r>
    </w:p>
    <w:p w:rsidR="00000000" w:rsidDel="00000000" w:rsidP="00000000" w:rsidRDefault="00000000" w:rsidRPr="00000000" w14:paraId="00000067">
      <w:pPr>
        <w:ind w:left="426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 w § 95 uchyla się ust. 2. jak wyzej </w:t>
      </w:r>
    </w:p>
    <w:p w:rsidR="00000000" w:rsidDel="00000000" w:rsidP="00000000" w:rsidRDefault="00000000" w:rsidRPr="00000000" w14:paraId="00000069">
      <w:pPr>
        <w:ind w:left="426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Zmiana § 98 ust 3</w:t>
      </w:r>
    </w:p>
    <w:p w:rsidR="00000000" w:rsidDel="00000000" w:rsidP="00000000" w:rsidRDefault="00000000" w:rsidRPr="00000000" w14:paraId="0000006B">
      <w:pPr>
        <w:jc w:val="left"/>
        <w:rPr/>
      </w:pPr>
      <w:r w:rsidDel="00000000" w:rsidR="00000000" w:rsidRPr="00000000">
        <w:rPr>
          <w:rtl w:val="0"/>
        </w:rPr>
        <w:t xml:space="preserve">Zmiana paragrafu 98 ust 3, dostosowuje zapisy statutu do aktualnych możliwości technologicznych i zasad uczestnictwa w sesjach rady.</w:t>
      </w:r>
    </w:p>
    <w:p w:rsidR="00000000" w:rsidDel="00000000" w:rsidP="00000000" w:rsidRDefault="00000000" w:rsidRPr="00000000" w14:paraId="0000006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Uchylenie § 100b </w:t>
      </w:r>
    </w:p>
    <w:p w:rsidR="00000000" w:rsidDel="00000000" w:rsidP="00000000" w:rsidRDefault="00000000" w:rsidRPr="00000000" w14:paraId="0000006E">
      <w:pPr>
        <w:jc w:val="left"/>
        <w:rPr/>
      </w:pPr>
      <w:r w:rsidDel="00000000" w:rsidR="00000000" w:rsidRPr="00000000">
        <w:rPr>
          <w:rtl w:val="0"/>
        </w:rPr>
        <w:t xml:space="preserve">Zgodnie z art. 25a ustawy: "Radny nie może brać udziału w głosowaniu w radzie ani w komisji, jeżeli dotyczy ono jego interesu prawnego". Ustawa przewiduje więc wyłączenie radnego jedynie w głosowaniu w radzie lub w komisji, jeżeli dotyczy ono jego interesu prawnego. Ustawodawca nie przewidział wyłączenia w sprawach, w których może powstać podejrzenie o ich stronniczość lub interesowność. W przypadku dokonania wyboru radnego do składu komisji nie są możliwe jakiekolwiek czasowe wyłączenia od udziału w jej pracach ani na mocy decyzji przewodniczącego komisji ani też uchwały rady, chyba że rada podejmie decyzję o zmianie składu osobowego komisji. Przepisy obowiązujących ustaw nie przewidują prawa radnego, członka komisji, do odwoływania się do rady w ramach ochrony swych praw w sprawach związanych z pracami komisji. Ponadto należy wskazać, iż zgodnie z powołanym ustawy wyłączenie dotyczy samego głosowania w radzie czy komisji, a nie pracy w radzie, czy komisji, w tym także "udziału w jej działaniach".</w:t>
      </w:r>
    </w:p>
    <w:p w:rsidR="00000000" w:rsidDel="00000000" w:rsidP="00000000" w:rsidRDefault="00000000" w:rsidRPr="00000000" w14:paraId="0000006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 Zmiana § 100b:</w:t>
      </w:r>
    </w:p>
    <w:p w:rsidR="00000000" w:rsidDel="00000000" w:rsidP="00000000" w:rsidRDefault="00000000" w:rsidRPr="00000000" w14:paraId="00000071">
      <w:pPr>
        <w:jc w:val="left"/>
        <w:rPr/>
      </w:pPr>
      <w:r w:rsidDel="00000000" w:rsidR="00000000" w:rsidRPr="00000000">
        <w:rPr>
          <w:rtl w:val="0"/>
        </w:rPr>
        <w:t xml:space="preserve">Zmiana paragrafu 98 ust 3, dostosowuje zapisy statutu do aktualnych możliwości technologicznych i zasad uczestnictwa w sesjach rady</w:t>
      </w:r>
    </w:p>
    <w:p w:rsidR="00000000" w:rsidDel="00000000" w:rsidP="00000000" w:rsidRDefault="00000000" w:rsidRPr="00000000" w14:paraId="0000007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line="276" w:lineRule="auto"/>
        <w:ind w:left="0" w:hanging="360"/>
        <w:jc w:val="left"/>
        <w:rPr/>
      </w:pPr>
      <w:r w:rsidDel="00000000" w:rsidR="00000000" w:rsidRPr="00000000">
        <w:rPr>
          <w:rtl w:val="0"/>
        </w:rPr>
        <w:t xml:space="preserve">Uchylenie  § 105 ust 3</w:t>
      </w:r>
    </w:p>
    <w:p w:rsidR="00000000" w:rsidDel="00000000" w:rsidP="00000000" w:rsidRDefault="00000000" w:rsidRPr="00000000" w14:paraId="00000074">
      <w:pPr>
        <w:jc w:val="left"/>
        <w:rPr/>
      </w:pPr>
      <w:r w:rsidDel="00000000" w:rsidR="00000000" w:rsidRPr="00000000">
        <w:rPr>
          <w:rtl w:val="0"/>
        </w:rPr>
        <w:t xml:space="preserve">Przedłożenia regulaminów klubów radnych przewodniczącemu rady nie znajduje uzasadnienia prawnego.</w:t>
      </w:r>
    </w:p>
    <w:p w:rsidR="00000000" w:rsidDel="00000000" w:rsidP="00000000" w:rsidRDefault="00000000" w:rsidRPr="00000000" w14:paraId="00000075">
      <w:pPr>
        <w:jc w:val="left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135" w:left="1843" w:right="86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l-PL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jc w:val="both"/>
    </w:pPr>
    <w:rPr>
      <w:rFonts w:ascii="Arial" w:cs="Arial" w:eastAsia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 w:val="1"/>
    <w:rsid w:val="00847D5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rsid w:val="00847D55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Akapitzlist">
    <w:name w:val="List Paragraph"/>
    <w:basedOn w:val="Normalny"/>
    <w:uiPriority w:val="34"/>
    <w:qFormat w:val="1"/>
    <w:rsid w:val="0084252C"/>
    <w:pPr>
      <w:ind w:left="720"/>
      <w:contextualSpacing w:val="1"/>
    </w:pPr>
  </w:style>
  <w:style w:type="paragraph" w:styleId="Nagwek">
    <w:name w:val="header"/>
    <w:basedOn w:val="Normalny"/>
    <w:link w:val="NagwekZnak"/>
    <w:rsid w:val="00165D26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rsid w:val="00165D26"/>
    <w:rPr>
      <w:rFonts w:ascii="Arial" w:cs="Arial" w:eastAsia="Arial" w:hAnsi="Arial"/>
      <w:sz w:val="24"/>
      <w:szCs w:val="24"/>
    </w:rPr>
  </w:style>
  <w:style w:type="paragraph" w:styleId="Stopka">
    <w:name w:val="footer"/>
    <w:basedOn w:val="Normalny"/>
    <w:link w:val="StopkaZnak"/>
    <w:rsid w:val="00165D26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rsid w:val="00165D26"/>
    <w:rPr>
      <w:rFonts w:ascii="Arial" w:cs="Arial" w:eastAsia="Arial" w:hAnsi="Arial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y4tadAnHfU5TTxJfUjhN3XJmIA==">CgMxLjAyCGguZ2pkZ3hzOAByITExbFdGcW44czRQTXZNemNEOWk3Q0tzQzFFbWhoeXhJMA==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2024-11-15T12:59:00Z</dcterms:created>
  <dc:creator>katarzyna.januszko</dc:creator>
</cp:coreProperties>
</file>